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79CDB" w14:textId="77777777" w:rsidR="0070626F" w:rsidRPr="00697061" w:rsidRDefault="0070626F" w:rsidP="0070626F">
      <w:pPr>
        <w:spacing w:after="0" w:line="259" w:lineRule="auto"/>
        <w:ind w:left="-5" w:right="2404"/>
        <w:jc w:val="left"/>
      </w:pPr>
      <w:r w:rsidRPr="00697061">
        <w:rPr>
          <w:b/>
          <w:sz w:val="24"/>
          <w:u w:val="single" w:color="000000"/>
        </w:rPr>
        <w:t>EXERCICES :</w:t>
      </w:r>
      <w:r w:rsidRPr="00697061">
        <w:rPr>
          <w:b/>
          <w:sz w:val="24"/>
        </w:rPr>
        <w:t xml:space="preserve">  </w:t>
      </w:r>
    </w:p>
    <w:p w14:paraId="3199371B" w14:textId="77777777" w:rsidR="0070626F" w:rsidRPr="00697061" w:rsidRDefault="0070626F" w:rsidP="0070626F">
      <w:pPr>
        <w:spacing w:after="67" w:line="240" w:lineRule="auto"/>
        <w:ind w:left="0" w:right="10531" w:firstLine="0"/>
        <w:jc w:val="left"/>
      </w:pPr>
      <w:r w:rsidRPr="00697061">
        <w:rPr>
          <w:b/>
          <w:sz w:val="16"/>
        </w:rPr>
        <w:t xml:space="preserve">  </w:t>
      </w:r>
    </w:p>
    <w:p w14:paraId="5DE3CD77" w14:textId="77777777" w:rsidR="0070626F" w:rsidRPr="00697061" w:rsidRDefault="0070626F" w:rsidP="0070626F">
      <w:pPr>
        <w:pBdr>
          <w:top w:val="single" w:sz="4" w:space="0" w:color="000000"/>
          <w:left w:val="single" w:sz="4" w:space="0" w:color="000000"/>
          <w:bottom w:val="single" w:sz="4" w:space="0" w:color="000000"/>
          <w:right w:val="single" w:sz="4" w:space="0" w:color="000000"/>
        </w:pBdr>
        <w:spacing w:after="0" w:line="259" w:lineRule="auto"/>
        <w:ind w:right="117"/>
        <w:jc w:val="center"/>
      </w:pPr>
      <w:r w:rsidRPr="00697061">
        <w:rPr>
          <w:b/>
          <w:sz w:val="20"/>
        </w:rPr>
        <w:t xml:space="preserve">DISSERTATION </w:t>
      </w:r>
    </w:p>
    <w:p w14:paraId="074E3316" w14:textId="77777777" w:rsidR="0070626F" w:rsidRPr="00697061" w:rsidRDefault="0070626F" w:rsidP="0070626F">
      <w:pPr>
        <w:spacing w:after="27" w:line="259" w:lineRule="auto"/>
        <w:ind w:left="0" w:firstLine="0"/>
        <w:jc w:val="left"/>
      </w:pPr>
      <w:r w:rsidRPr="00697061">
        <w:rPr>
          <w:b/>
          <w:sz w:val="16"/>
        </w:rPr>
        <w:t xml:space="preserve"> </w:t>
      </w:r>
    </w:p>
    <w:p w14:paraId="5E0A9933" w14:textId="77777777" w:rsidR="0070626F" w:rsidRPr="00697061" w:rsidRDefault="0070626F" w:rsidP="0070626F">
      <w:pPr>
        <w:numPr>
          <w:ilvl w:val="0"/>
          <w:numId w:val="1"/>
        </w:numPr>
        <w:spacing w:after="10" w:line="250" w:lineRule="auto"/>
        <w:ind w:left="761" w:hanging="416"/>
        <w:jc w:val="left"/>
      </w:pPr>
      <w:r w:rsidRPr="00697061">
        <w:rPr>
          <w:sz w:val="20"/>
        </w:rPr>
        <w:t xml:space="preserve">Les garanties de la procédure disciplinaire </w:t>
      </w:r>
    </w:p>
    <w:p w14:paraId="57A41AEF" w14:textId="77777777" w:rsidR="0070626F" w:rsidRPr="00697061" w:rsidRDefault="0070626F" w:rsidP="0070626F">
      <w:pPr>
        <w:spacing w:after="0" w:line="259" w:lineRule="auto"/>
        <w:ind w:left="0" w:firstLine="0"/>
        <w:jc w:val="left"/>
      </w:pPr>
      <w:r w:rsidRPr="00697061">
        <w:rPr>
          <w:b/>
          <w:sz w:val="16"/>
        </w:rPr>
        <w:t xml:space="preserve"> </w:t>
      </w:r>
    </w:p>
    <w:p w14:paraId="4DAA21C2" w14:textId="77777777" w:rsidR="0070626F" w:rsidRPr="00697061" w:rsidRDefault="0070626F" w:rsidP="0070626F">
      <w:pPr>
        <w:spacing w:after="63" w:line="259" w:lineRule="auto"/>
        <w:ind w:left="0" w:firstLine="0"/>
        <w:jc w:val="left"/>
      </w:pPr>
      <w:r w:rsidRPr="00697061">
        <w:rPr>
          <w:b/>
          <w:sz w:val="16"/>
        </w:rPr>
        <w:t xml:space="preserve"> </w:t>
      </w:r>
    </w:p>
    <w:p w14:paraId="12DDEEA3" w14:textId="77777777" w:rsidR="0070626F" w:rsidRPr="00697061" w:rsidRDefault="0070626F" w:rsidP="0070626F">
      <w:pPr>
        <w:spacing w:after="70" w:line="240" w:lineRule="auto"/>
        <w:ind w:left="0" w:right="10531" w:firstLine="0"/>
        <w:jc w:val="left"/>
      </w:pPr>
      <w:r w:rsidRPr="00697061">
        <w:rPr>
          <w:b/>
          <w:sz w:val="16"/>
        </w:rPr>
        <w:t xml:space="preserve">  </w:t>
      </w:r>
    </w:p>
    <w:p w14:paraId="6718B0EA" w14:textId="77777777" w:rsidR="0070626F" w:rsidRPr="00697061" w:rsidRDefault="0070626F" w:rsidP="0070626F">
      <w:pPr>
        <w:pStyle w:val="Titre4"/>
        <w:pBdr>
          <w:top w:val="single" w:sz="4" w:space="0" w:color="000000"/>
          <w:left w:val="single" w:sz="4" w:space="0" w:color="000000"/>
          <w:bottom w:val="single" w:sz="4" w:space="0" w:color="000000"/>
          <w:right w:val="single" w:sz="4" w:space="0" w:color="000000"/>
        </w:pBdr>
        <w:ind w:right="116"/>
        <w:jc w:val="center"/>
      </w:pPr>
      <w:r w:rsidRPr="00697061">
        <w:t xml:space="preserve">CAS PRATIQUE </w:t>
      </w:r>
      <w:r>
        <w:t>4</w:t>
      </w:r>
    </w:p>
    <w:p w14:paraId="3947E8B6" w14:textId="77777777" w:rsidR="0070626F" w:rsidRPr="00697061" w:rsidRDefault="0070626F" w:rsidP="0070626F">
      <w:pPr>
        <w:spacing w:after="0" w:line="259" w:lineRule="auto"/>
        <w:ind w:left="0" w:firstLine="0"/>
        <w:jc w:val="left"/>
      </w:pPr>
      <w:r w:rsidRPr="00697061">
        <w:rPr>
          <w:b/>
        </w:rPr>
        <w:t xml:space="preserve"> </w:t>
      </w:r>
    </w:p>
    <w:p w14:paraId="16B75095" w14:textId="77777777" w:rsidR="0070626F" w:rsidRPr="00697061" w:rsidRDefault="0070626F" w:rsidP="0070626F">
      <w:pPr>
        <w:spacing w:after="0" w:line="259" w:lineRule="auto"/>
        <w:ind w:left="0" w:firstLine="0"/>
        <w:jc w:val="left"/>
      </w:pPr>
      <w:r w:rsidRPr="00697061">
        <w:rPr>
          <w:b/>
        </w:rPr>
        <w:t xml:space="preserve"> </w:t>
      </w:r>
    </w:p>
    <w:tbl>
      <w:tblPr>
        <w:tblStyle w:val="TableGrid"/>
        <w:tblW w:w="10463" w:type="dxa"/>
        <w:tblInd w:w="0" w:type="dxa"/>
        <w:tblCellMar>
          <w:top w:w="4" w:type="dxa"/>
        </w:tblCellMar>
        <w:tblLook w:val="04A0" w:firstRow="1" w:lastRow="0" w:firstColumn="1" w:lastColumn="0" w:noHBand="0" w:noVBand="1"/>
      </w:tblPr>
      <w:tblGrid>
        <w:gridCol w:w="4368"/>
        <w:gridCol w:w="6095"/>
      </w:tblGrid>
      <w:tr w:rsidR="0070626F" w:rsidRPr="00697061" w14:paraId="068EFF5B" w14:textId="77777777" w:rsidTr="00C911C9">
        <w:trPr>
          <w:trHeight w:val="230"/>
        </w:trPr>
        <w:tc>
          <w:tcPr>
            <w:tcW w:w="10463" w:type="dxa"/>
            <w:gridSpan w:val="2"/>
            <w:tcBorders>
              <w:top w:val="nil"/>
              <w:left w:val="nil"/>
              <w:bottom w:val="nil"/>
              <w:right w:val="nil"/>
            </w:tcBorders>
            <w:shd w:val="clear" w:color="auto" w:fill="FFFF00"/>
          </w:tcPr>
          <w:p w14:paraId="119B1C07" w14:textId="77777777" w:rsidR="0070626F" w:rsidRPr="00697061" w:rsidRDefault="0070626F" w:rsidP="00C911C9">
            <w:pPr>
              <w:spacing w:after="0" w:line="259" w:lineRule="auto"/>
              <w:ind w:left="0" w:firstLine="0"/>
            </w:pPr>
            <w:r w:rsidRPr="00697061">
              <w:rPr>
                <w:sz w:val="20"/>
              </w:rPr>
              <w:t xml:space="preserve">L’entreprise E. CARTMAN (205 salariés), </w:t>
            </w:r>
            <w:proofErr w:type="spellStart"/>
            <w:r w:rsidRPr="00697061">
              <w:rPr>
                <w:sz w:val="20"/>
              </w:rPr>
              <w:t>Médias</w:t>
            </w:r>
            <w:proofErr w:type="spellEnd"/>
            <w:r w:rsidRPr="00697061">
              <w:rPr>
                <w:sz w:val="20"/>
              </w:rPr>
              <w:t xml:space="preserve"> et télévision, fait appel à vos talents de juriste pour l’aider dans les </w:t>
            </w:r>
          </w:p>
        </w:tc>
      </w:tr>
      <w:tr w:rsidR="0070626F" w:rsidRPr="00697061" w14:paraId="36639403" w14:textId="77777777" w:rsidTr="00C911C9">
        <w:trPr>
          <w:trHeight w:val="230"/>
        </w:trPr>
        <w:tc>
          <w:tcPr>
            <w:tcW w:w="4368" w:type="dxa"/>
            <w:tcBorders>
              <w:top w:val="nil"/>
              <w:left w:val="nil"/>
              <w:bottom w:val="nil"/>
              <w:right w:val="nil"/>
            </w:tcBorders>
            <w:shd w:val="clear" w:color="auto" w:fill="FFFF00"/>
          </w:tcPr>
          <w:p w14:paraId="36E6EC20" w14:textId="77777777" w:rsidR="0070626F" w:rsidRPr="00697061" w:rsidRDefault="0070626F" w:rsidP="00C911C9">
            <w:pPr>
              <w:spacing w:after="0" w:line="259" w:lineRule="auto"/>
              <w:ind w:left="0" w:firstLine="0"/>
            </w:pPr>
            <w:r w:rsidRPr="00697061">
              <w:rPr>
                <w:sz w:val="20"/>
              </w:rPr>
              <w:t>difficiles situations auxquelles elle est confrontée.</w:t>
            </w:r>
          </w:p>
        </w:tc>
        <w:tc>
          <w:tcPr>
            <w:tcW w:w="6095" w:type="dxa"/>
            <w:tcBorders>
              <w:top w:val="nil"/>
              <w:left w:val="nil"/>
              <w:bottom w:val="nil"/>
              <w:right w:val="nil"/>
            </w:tcBorders>
          </w:tcPr>
          <w:p w14:paraId="53FD4597" w14:textId="77777777" w:rsidR="0070626F" w:rsidRPr="00697061" w:rsidRDefault="0070626F" w:rsidP="00C911C9">
            <w:pPr>
              <w:spacing w:after="0" w:line="259" w:lineRule="auto"/>
              <w:ind w:left="0" w:firstLine="0"/>
              <w:jc w:val="left"/>
            </w:pPr>
            <w:r w:rsidRPr="00697061">
              <w:rPr>
                <w:sz w:val="20"/>
              </w:rPr>
              <w:t xml:space="preserve"> </w:t>
            </w:r>
          </w:p>
        </w:tc>
      </w:tr>
    </w:tbl>
    <w:p w14:paraId="25320EFC" w14:textId="77777777" w:rsidR="0070626F" w:rsidRPr="00697061" w:rsidRDefault="0070626F" w:rsidP="0070626F">
      <w:pPr>
        <w:spacing w:after="0" w:line="259" w:lineRule="auto"/>
        <w:ind w:left="0" w:firstLine="0"/>
        <w:jc w:val="left"/>
      </w:pPr>
      <w:r w:rsidRPr="00697061">
        <w:rPr>
          <w:sz w:val="20"/>
        </w:rPr>
        <w:t xml:space="preserve"> </w:t>
      </w:r>
    </w:p>
    <w:tbl>
      <w:tblPr>
        <w:tblStyle w:val="TableGrid"/>
        <w:tblW w:w="10463" w:type="dxa"/>
        <w:tblInd w:w="0" w:type="dxa"/>
        <w:tblCellMar>
          <w:top w:w="4" w:type="dxa"/>
        </w:tblCellMar>
        <w:tblLook w:val="04A0" w:firstRow="1" w:lastRow="0" w:firstColumn="1" w:lastColumn="0" w:noHBand="0" w:noVBand="1"/>
      </w:tblPr>
      <w:tblGrid>
        <w:gridCol w:w="9292"/>
        <w:gridCol w:w="1171"/>
      </w:tblGrid>
      <w:tr w:rsidR="0070626F" w:rsidRPr="00697061" w14:paraId="150ECC96" w14:textId="77777777" w:rsidTr="00C911C9">
        <w:trPr>
          <w:trHeight w:val="461"/>
        </w:trPr>
        <w:tc>
          <w:tcPr>
            <w:tcW w:w="10463" w:type="dxa"/>
            <w:gridSpan w:val="2"/>
            <w:tcBorders>
              <w:top w:val="nil"/>
              <w:left w:val="nil"/>
              <w:bottom w:val="nil"/>
              <w:right w:val="nil"/>
            </w:tcBorders>
            <w:shd w:val="clear" w:color="auto" w:fill="FFFF00"/>
          </w:tcPr>
          <w:p w14:paraId="0C758F80" w14:textId="77777777" w:rsidR="0070626F" w:rsidRPr="00697061" w:rsidRDefault="0070626F" w:rsidP="00C911C9">
            <w:pPr>
              <w:spacing w:after="0" w:line="259" w:lineRule="auto"/>
              <w:ind w:left="0" w:firstLine="0"/>
            </w:pPr>
            <w:r w:rsidRPr="00697061">
              <w:rPr>
                <w:sz w:val="20"/>
              </w:rPr>
              <w:t xml:space="preserve">I – Le PDG, E. CARTMAN est furieux d’apprendre qu’une secrétaire de la société arrive tous les jours voilée au bureau et surtout qu’elle refuse d’ôter son foulard pendant son temps de travail. « Cette pratique est inadmissible », lui dit-il. </w:t>
            </w:r>
          </w:p>
        </w:tc>
      </w:tr>
      <w:tr w:rsidR="0070626F" w:rsidRPr="00697061" w14:paraId="6F056B57" w14:textId="77777777" w:rsidTr="00C911C9">
        <w:trPr>
          <w:trHeight w:val="230"/>
        </w:trPr>
        <w:tc>
          <w:tcPr>
            <w:tcW w:w="9292" w:type="dxa"/>
            <w:tcBorders>
              <w:top w:val="nil"/>
              <w:left w:val="nil"/>
              <w:bottom w:val="nil"/>
              <w:right w:val="nil"/>
            </w:tcBorders>
            <w:shd w:val="clear" w:color="auto" w:fill="FFFF00"/>
          </w:tcPr>
          <w:p w14:paraId="42EF25AC" w14:textId="77777777" w:rsidR="0070626F" w:rsidRDefault="0070626F" w:rsidP="00586535">
            <w:pPr>
              <w:spacing w:after="0" w:line="259" w:lineRule="auto"/>
              <w:ind w:left="0" w:firstLine="0"/>
              <w:rPr>
                <w:sz w:val="20"/>
              </w:rPr>
            </w:pPr>
            <w:r w:rsidRPr="00697061">
              <w:rPr>
                <w:sz w:val="20"/>
              </w:rPr>
              <w:t>« D’ailleurs, le règlement intérieur précise qu’aucun signe religieux ne doit être visible dans l’entreprise ».</w:t>
            </w:r>
          </w:p>
          <w:p w14:paraId="68614C91" w14:textId="77777777" w:rsidR="00586535" w:rsidRDefault="00586535" w:rsidP="00586535">
            <w:pPr>
              <w:spacing w:after="0" w:line="259" w:lineRule="auto"/>
              <w:ind w:left="0" w:firstLine="0"/>
              <w:rPr>
                <w:sz w:val="20"/>
              </w:rPr>
            </w:pPr>
          </w:p>
          <w:p w14:paraId="712A12A2" w14:textId="07A1C7CE" w:rsidR="00586535" w:rsidRDefault="00586535" w:rsidP="00586535">
            <w:pPr>
              <w:spacing w:after="0" w:line="259" w:lineRule="auto"/>
              <w:ind w:left="0" w:firstLine="0"/>
              <w:rPr>
                <w:sz w:val="20"/>
              </w:rPr>
            </w:pPr>
            <w:r>
              <w:rPr>
                <w:sz w:val="20"/>
              </w:rPr>
              <w:t>Question 1: est-il possible d’interdire à un salarié de porter un voile pendant le temps de travail ?</w:t>
            </w:r>
          </w:p>
          <w:p w14:paraId="4B66D5B0" w14:textId="77777777" w:rsidR="006C5DDC" w:rsidRDefault="006C5DDC" w:rsidP="00586535">
            <w:pPr>
              <w:spacing w:after="0" w:line="259" w:lineRule="auto"/>
              <w:ind w:left="0" w:firstLine="0"/>
              <w:rPr>
                <w:sz w:val="20"/>
              </w:rPr>
            </w:pPr>
          </w:p>
          <w:p w14:paraId="47053CF6" w14:textId="0168AAC1" w:rsidR="006C5DDC" w:rsidRDefault="00586535" w:rsidP="00586535">
            <w:pPr>
              <w:spacing w:after="0" w:line="259" w:lineRule="auto"/>
              <w:ind w:left="0" w:firstLine="0"/>
              <w:rPr>
                <w:sz w:val="20"/>
              </w:rPr>
            </w:pPr>
            <w:r>
              <w:rPr>
                <w:sz w:val="20"/>
              </w:rPr>
              <w:t>L’article 1121-1 du Code du travail prévoit nul ne peut apporter au droit</w:t>
            </w:r>
            <w:r w:rsidR="006C5DDC">
              <w:rPr>
                <w:sz w:val="20"/>
              </w:rPr>
              <w:t xml:space="preserve"> </w:t>
            </w:r>
            <w:r>
              <w:rPr>
                <w:sz w:val="20"/>
              </w:rPr>
              <w:t xml:space="preserve">des personne et au liberté individuel et collective de restriction qui ne saurait pas </w:t>
            </w:r>
            <w:r w:rsidR="006C5DDC">
              <w:rPr>
                <w:sz w:val="20"/>
              </w:rPr>
              <w:t xml:space="preserve">justifié par la nature de la tâche à accomplir ni proportionné au but recherché. </w:t>
            </w:r>
          </w:p>
          <w:p w14:paraId="161A1ECB" w14:textId="29EF5ED8" w:rsidR="00586535" w:rsidRDefault="006C5DDC" w:rsidP="00586535">
            <w:pPr>
              <w:spacing w:after="0" w:line="259" w:lineRule="auto"/>
              <w:ind w:left="0" w:firstLine="0"/>
              <w:rPr>
                <w:sz w:val="20"/>
              </w:rPr>
            </w:pPr>
            <w:r>
              <w:rPr>
                <w:sz w:val="20"/>
              </w:rPr>
              <w:t xml:space="preserve">En l’espèce, </w:t>
            </w:r>
            <w:r w:rsidR="00FD7ABD">
              <w:rPr>
                <w:sz w:val="20"/>
              </w:rPr>
              <w:t>il s’agit d’une entreprise privée donc la loi de la laïcité ne s’applique pas automatiquement.</w:t>
            </w:r>
          </w:p>
          <w:p w14:paraId="398510A9" w14:textId="5767A882" w:rsidR="00FD7ABD" w:rsidRDefault="00FD7ABD" w:rsidP="00FD7ABD">
            <w:pPr>
              <w:spacing w:after="0" w:line="259" w:lineRule="auto"/>
              <w:ind w:left="0" w:firstLine="0"/>
              <w:rPr>
                <w:sz w:val="20"/>
              </w:rPr>
            </w:pPr>
            <w:r>
              <w:rPr>
                <w:sz w:val="20"/>
              </w:rPr>
              <w:t xml:space="preserve">Même si c’est une entreprise de </w:t>
            </w:r>
            <w:proofErr w:type="spellStart"/>
            <w:r>
              <w:rPr>
                <w:sz w:val="20"/>
              </w:rPr>
              <w:t>média</w:t>
            </w:r>
            <w:proofErr w:type="spellEnd"/>
            <w:r>
              <w:rPr>
                <w:sz w:val="20"/>
              </w:rPr>
              <w:t xml:space="preserve"> il n’est pas indiqué que la salarié doit être vue par le public.</w:t>
            </w:r>
          </w:p>
          <w:p w14:paraId="5CC9B777" w14:textId="4614D6A1" w:rsidR="00FD7ABD" w:rsidRDefault="00FD7ABD" w:rsidP="00FD7ABD">
            <w:pPr>
              <w:spacing w:after="0" w:line="259" w:lineRule="auto"/>
              <w:ind w:left="0" w:firstLine="0"/>
              <w:rPr>
                <w:sz w:val="20"/>
              </w:rPr>
            </w:pPr>
            <w:r>
              <w:rPr>
                <w:sz w:val="20"/>
              </w:rPr>
              <w:t xml:space="preserve">L’interdiction ne semble pas proportionnée puisqu’il s’agit d’une secrétaire et rien ne suppose a ce qu’elle travail voilée. </w:t>
            </w:r>
          </w:p>
          <w:p w14:paraId="17191A9E" w14:textId="0B1C7C27" w:rsidR="00A05602" w:rsidRDefault="00A05602" w:rsidP="00FD7ABD">
            <w:pPr>
              <w:spacing w:after="0" w:line="259" w:lineRule="auto"/>
              <w:ind w:left="0" w:firstLine="0"/>
              <w:rPr>
                <w:sz w:val="20"/>
              </w:rPr>
            </w:pPr>
            <w:r>
              <w:rPr>
                <w:sz w:val="20"/>
              </w:rPr>
              <w:t>En conséquence il n’est pas possible d’interdire à la salarié de porter un voile.</w:t>
            </w:r>
          </w:p>
          <w:p w14:paraId="74DDD896" w14:textId="77777777" w:rsidR="00A05602" w:rsidRDefault="00A05602" w:rsidP="00FD7ABD">
            <w:pPr>
              <w:spacing w:after="0" w:line="259" w:lineRule="auto"/>
              <w:ind w:left="0" w:firstLine="0"/>
              <w:rPr>
                <w:sz w:val="20"/>
              </w:rPr>
            </w:pPr>
          </w:p>
          <w:p w14:paraId="342AE56E" w14:textId="77777777" w:rsidR="006C5DDC" w:rsidRDefault="006C5DDC" w:rsidP="00586535">
            <w:pPr>
              <w:spacing w:after="0" w:line="259" w:lineRule="auto"/>
              <w:ind w:left="0" w:firstLine="0"/>
              <w:rPr>
                <w:sz w:val="20"/>
              </w:rPr>
            </w:pPr>
          </w:p>
          <w:p w14:paraId="515EFE3E" w14:textId="1B50A9BA" w:rsidR="00586535" w:rsidRDefault="00586535" w:rsidP="00586535">
            <w:pPr>
              <w:spacing w:after="0" w:line="259" w:lineRule="auto"/>
              <w:ind w:left="0" w:firstLine="0"/>
              <w:rPr>
                <w:sz w:val="20"/>
              </w:rPr>
            </w:pPr>
            <w:r>
              <w:rPr>
                <w:sz w:val="20"/>
              </w:rPr>
              <w:t xml:space="preserve">Question 2 : Cet interdiction peut-elle être comprise dans les dispositions du règlement intérieur ? </w:t>
            </w:r>
          </w:p>
          <w:p w14:paraId="321D3764" w14:textId="77777777" w:rsidR="00A05602" w:rsidRDefault="00A05602" w:rsidP="00586535">
            <w:pPr>
              <w:spacing w:after="0" w:line="259" w:lineRule="auto"/>
              <w:ind w:left="0" w:firstLine="0"/>
              <w:rPr>
                <w:sz w:val="20"/>
              </w:rPr>
            </w:pPr>
          </w:p>
          <w:p w14:paraId="1D742474" w14:textId="451277CC" w:rsidR="00AC1DF5" w:rsidRDefault="00A05602" w:rsidP="00AC1DF5">
            <w:pPr>
              <w:spacing w:after="0" w:line="259" w:lineRule="auto"/>
              <w:ind w:left="0" w:firstLine="0"/>
              <w:rPr>
                <w:sz w:val="20"/>
              </w:rPr>
            </w:pPr>
            <w:r>
              <w:rPr>
                <w:sz w:val="20"/>
              </w:rPr>
              <w:t>L’article 1321-1 limite le domaine de compétence du règlement intérieur , il ne peut apporter des restriction au</w:t>
            </w:r>
            <w:r w:rsidR="00AC1DF5">
              <w:rPr>
                <w:sz w:val="20"/>
              </w:rPr>
              <w:t xml:space="preserve">x </w:t>
            </w:r>
            <w:r>
              <w:rPr>
                <w:sz w:val="20"/>
              </w:rPr>
              <w:t>liberté</w:t>
            </w:r>
            <w:r w:rsidR="00AC1DF5">
              <w:rPr>
                <w:sz w:val="20"/>
              </w:rPr>
              <w:t>s</w:t>
            </w:r>
            <w:r>
              <w:rPr>
                <w:sz w:val="20"/>
              </w:rPr>
              <w:t xml:space="preserve"> individuel</w:t>
            </w:r>
            <w:r w:rsidR="00AC1DF5">
              <w:rPr>
                <w:sz w:val="20"/>
              </w:rPr>
              <w:t>les</w:t>
            </w:r>
            <w:r>
              <w:rPr>
                <w:sz w:val="20"/>
              </w:rPr>
              <w:t xml:space="preserve"> sauf s</w:t>
            </w:r>
            <w:r w:rsidR="00AC1DF5">
              <w:rPr>
                <w:sz w:val="20"/>
              </w:rPr>
              <w:t>i elles</w:t>
            </w:r>
            <w:r>
              <w:rPr>
                <w:sz w:val="20"/>
              </w:rPr>
              <w:t xml:space="preserve"> sont proportionné</w:t>
            </w:r>
            <w:r w:rsidR="00AC1DF5">
              <w:rPr>
                <w:sz w:val="20"/>
              </w:rPr>
              <w:t>s</w:t>
            </w:r>
            <w:r>
              <w:rPr>
                <w:sz w:val="20"/>
              </w:rPr>
              <w:t xml:space="preserve"> et </w:t>
            </w:r>
            <w:r w:rsidR="00AC1DF5">
              <w:rPr>
                <w:sz w:val="20"/>
              </w:rPr>
              <w:t xml:space="preserve">justifiées. </w:t>
            </w:r>
          </w:p>
          <w:p w14:paraId="629B2101" w14:textId="3C709223" w:rsidR="00AC1DF5" w:rsidRDefault="00AC1DF5" w:rsidP="00AC1DF5">
            <w:pPr>
              <w:spacing w:after="0" w:line="259" w:lineRule="auto"/>
              <w:ind w:left="0" w:firstLine="0"/>
              <w:rPr>
                <w:sz w:val="20"/>
              </w:rPr>
            </w:pPr>
            <w:r>
              <w:rPr>
                <w:sz w:val="20"/>
              </w:rPr>
              <w:t xml:space="preserve">En l’espèce, l’interdiction du port du voile n’est ni justifié ni proportionné ; aussi le règlement intérieur </w:t>
            </w:r>
            <w:r w:rsidR="003E7F22">
              <w:rPr>
                <w:sz w:val="20"/>
              </w:rPr>
              <w:t xml:space="preserve">ne peut prévoir de tel disposition qui serait attentatoire au liberté individuel. </w:t>
            </w:r>
          </w:p>
          <w:p w14:paraId="66545E1E" w14:textId="77777777" w:rsidR="00586535" w:rsidRDefault="00586535" w:rsidP="00586535">
            <w:pPr>
              <w:spacing w:after="0" w:line="259" w:lineRule="auto"/>
              <w:ind w:left="0" w:firstLine="0"/>
              <w:rPr>
                <w:sz w:val="20"/>
              </w:rPr>
            </w:pPr>
          </w:p>
          <w:p w14:paraId="44A08FA3" w14:textId="445C26C9" w:rsidR="00586535" w:rsidRDefault="00586535" w:rsidP="00586535">
            <w:pPr>
              <w:spacing w:after="0" w:line="259" w:lineRule="auto"/>
              <w:ind w:left="0" w:firstLine="0"/>
              <w:rPr>
                <w:sz w:val="20"/>
              </w:rPr>
            </w:pPr>
            <w:r>
              <w:rPr>
                <w:sz w:val="20"/>
              </w:rPr>
              <w:t>Question 3 : le refus d’enlevé un signe religieux pendant le temps de travail peut-il constitué une faute ?</w:t>
            </w:r>
          </w:p>
          <w:p w14:paraId="73CB5AF9" w14:textId="3D538AB0" w:rsidR="00586535" w:rsidRPr="00586535" w:rsidRDefault="00586535" w:rsidP="00586535">
            <w:pPr>
              <w:spacing w:after="0" w:line="259" w:lineRule="auto"/>
              <w:ind w:left="0" w:firstLine="0"/>
              <w:rPr>
                <w:sz w:val="20"/>
              </w:rPr>
            </w:pPr>
            <w:r>
              <w:rPr>
                <w:sz w:val="20"/>
              </w:rPr>
              <w:t>Question 4 : le fait de sanction un salarié portant un signe religieux peut-il être discriminatoire ?</w:t>
            </w:r>
          </w:p>
        </w:tc>
        <w:tc>
          <w:tcPr>
            <w:tcW w:w="1171" w:type="dxa"/>
            <w:tcBorders>
              <w:top w:val="nil"/>
              <w:left w:val="nil"/>
              <w:bottom w:val="nil"/>
              <w:right w:val="nil"/>
            </w:tcBorders>
          </w:tcPr>
          <w:p w14:paraId="5B6E0368" w14:textId="77777777" w:rsidR="0070626F" w:rsidRDefault="0070626F" w:rsidP="00C911C9">
            <w:pPr>
              <w:spacing w:after="0" w:line="259" w:lineRule="auto"/>
              <w:ind w:left="0" w:firstLine="0"/>
              <w:jc w:val="left"/>
              <w:rPr>
                <w:sz w:val="20"/>
              </w:rPr>
            </w:pPr>
            <w:r w:rsidRPr="00697061">
              <w:rPr>
                <w:sz w:val="20"/>
              </w:rPr>
              <w:t xml:space="preserve"> </w:t>
            </w:r>
          </w:p>
          <w:p w14:paraId="0863B267" w14:textId="77777777" w:rsidR="00586535" w:rsidRDefault="00586535" w:rsidP="00C911C9">
            <w:pPr>
              <w:spacing w:after="0" w:line="259" w:lineRule="auto"/>
              <w:ind w:left="0" w:firstLine="0"/>
              <w:jc w:val="left"/>
              <w:rPr>
                <w:sz w:val="20"/>
              </w:rPr>
            </w:pPr>
          </w:p>
          <w:p w14:paraId="26859DDA" w14:textId="77777777" w:rsidR="0070626F" w:rsidRPr="00697061" w:rsidRDefault="0070626F" w:rsidP="00C911C9">
            <w:pPr>
              <w:spacing w:after="0" w:line="259" w:lineRule="auto"/>
              <w:ind w:left="0" w:firstLine="0"/>
              <w:jc w:val="left"/>
            </w:pPr>
            <w:r w:rsidRPr="00697061">
              <w:rPr>
                <w:sz w:val="20"/>
              </w:rPr>
              <w:t xml:space="preserve"> </w:t>
            </w:r>
          </w:p>
        </w:tc>
      </w:tr>
      <w:tr w:rsidR="0070626F" w:rsidRPr="00697061" w14:paraId="5EA8DBC4" w14:textId="77777777" w:rsidTr="00C911C9">
        <w:trPr>
          <w:trHeight w:val="230"/>
        </w:trPr>
        <w:tc>
          <w:tcPr>
            <w:tcW w:w="9292" w:type="dxa"/>
            <w:tcBorders>
              <w:top w:val="nil"/>
              <w:left w:val="nil"/>
              <w:bottom w:val="nil"/>
              <w:right w:val="nil"/>
            </w:tcBorders>
            <w:shd w:val="clear" w:color="auto" w:fill="FFFF00"/>
          </w:tcPr>
          <w:p w14:paraId="3DF3DCD2" w14:textId="77777777" w:rsidR="0070626F" w:rsidRPr="00697061" w:rsidRDefault="0070626F" w:rsidP="00C911C9">
            <w:pPr>
              <w:spacing w:after="0" w:line="259" w:lineRule="auto"/>
              <w:ind w:left="0" w:firstLine="0"/>
              <w:rPr>
                <w:sz w:val="20"/>
              </w:rPr>
            </w:pPr>
          </w:p>
        </w:tc>
        <w:tc>
          <w:tcPr>
            <w:tcW w:w="1171" w:type="dxa"/>
            <w:tcBorders>
              <w:top w:val="nil"/>
              <w:left w:val="nil"/>
              <w:bottom w:val="nil"/>
              <w:right w:val="nil"/>
            </w:tcBorders>
          </w:tcPr>
          <w:p w14:paraId="4F6B33A3" w14:textId="77777777" w:rsidR="0070626F" w:rsidRPr="00697061" w:rsidRDefault="0070626F" w:rsidP="00C911C9">
            <w:pPr>
              <w:spacing w:after="0" w:line="259" w:lineRule="auto"/>
              <w:ind w:left="0" w:firstLine="0"/>
              <w:jc w:val="left"/>
              <w:rPr>
                <w:sz w:val="20"/>
              </w:rPr>
            </w:pPr>
          </w:p>
        </w:tc>
      </w:tr>
    </w:tbl>
    <w:p w14:paraId="0F03C918" w14:textId="77777777" w:rsidR="0070626F" w:rsidRPr="00697061" w:rsidRDefault="0070626F" w:rsidP="0070626F">
      <w:pPr>
        <w:spacing w:after="0" w:line="259" w:lineRule="auto"/>
        <w:ind w:left="0" w:firstLine="0"/>
        <w:jc w:val="left"/>
      </w:pPr>
      <w:r w:rsidRPr="00697061">
        <w:rPr>
          <w:sz w:val="20"/>
        </w:rPr>
        <w:t xml:space="preserve"> </w:t>
      </w:r>
    </w:p>
    <w:tbl>
      <w:tblPr>
        <w:tblStyle w:val="TableGrid"/>
        <w:tblW w:w="10463" w:type="dxa"/>
        <w:tblInd w:w="0" w:type="dxa"/>
        <w:tblCellMar>
          <w:top w:w="3" w:type="dxa"/>
        </w:tblCellMar>
        <w:tblLook w:val="04A0" w:firstRow="1" w:lastRow="0" w:firstColumn="1" w:lastColumn="0" w:noHBand="0" w:noVBand="1"/>
      </w:tblPr>
      <w:tblGrid>
        <w:gridCol w:w="745"/>
        <w:gridCol w:w="9461"/>
        <w:gridCol w:w="257"/>
      </w:tblGrid>
      <w:tr w:rsidR="0070626F" w:rsidRPr="00697061" w14:paraId="698B86FA" w14:textId="77777777" w:rsidTr="00C911C9">
        <w:trPr>
          <w:trHeight w:val="689"/>
        </w:trPr>
        <w:tc>
          <w:tcPr>
            <w:tcW w:w="10463" w:type="dxa"/>
            <w:gridSpan w:val="3"/>
            <w:tcBorders>
              <w:top w:val="nil"/>
              <w:left w:val="nil"/>
              <w:bottom w:val="nil"/>
              <w:right w:val="nil"/>
            </w:tcBorders>
            <w:shd w:val="clear" w:color="auto" w:fill="FFFF00"/>
          </w:tcPr>
          <w:p w14:paraId="1F465DDC" w14:textId="77777777" w:rsidR="0070626F" w:rsidRPr="00697061" w:rsidRDefault="0070626F" w:rsidP="00C911C9">
            <w:pPr>
              <w:spacing w:after="0" w:line="259" w:lineRule="auto"/>
              <w:ind w:left="0" w:right="5" w:firstLine="0"/>
            </w:pPr>
            <w:r w:rsidRPr="00697061">
              <w:rPr>
                <w:sz w:val="20"/>
              </w:rPr>
              <w:t xml:space="preserve">II – Pour lutter contre « tous ces alcooliques de l’établissement d’Arras », [56 salariés, spécialisés dans la fabrication de poste de télévision], E. CARTMAN envisage de faire procéder à des tests inopinés d’alcoolémie sur le lieu de travail. De plus, il envisage de mettre des caméras dans l’usine ainsi que dans les entrepôts afin de contrôler le travail de ses </w:t>
            </w:r>
          </w:p>
        </w:tc>
      </w:tr>
      <w:tr w:rsidR="0070626F" w:rsidRPr="00697061" w14:paraId="42D5E3E1" w14:textId="77777777" w:rsidTr="003E7F22">
        <w:trPr>
          <w:trHeight w:val="230"/>
        </w:trPr>
        <w:tc>
          <w:tcPr>
            <w:tcW w:w="745" w:type="dxa"/>
            <w:tcBorders>
              <w:top w:val="nil"/>
              <w:left w:val="nil"/>
              <w:bottom w:val="nil"/>
              <w:right w:val="nil"/>
            </w:tcBorders>
            <w:shd w:val="clear" w:color="auto" w:fill="FFFF00"/>
          </w:tcPr>
          <w:p w14:paraId="28C61EA8" w14:textId="77777777" w:rsidR="0070626F" w:rsidRPr="00697061" w:rsidRDefault="0070626F" w:rsidP="00C911C9">
            <w:pPr>
              <w:spacing w:after="0" w:line="259" w:lineRule="auto"/>
              <w:ind w:left="0" w:firstLine="0"/>
            </w:pPr>
            <w:r w:rsidRPr="00697061">
              <w:rPr>
                <w:sz w:val="20"/>
              </w:rPr>
              <w:t>salariés.</w:t>
            </w:r>
          </w:p>
        </w:tc>
        <w:tc>
          <w:tcPr>
            <w:tcW w:w="9718" w:type="dxa"/>
            <w:gridSpan w:val="2"/>
            <w:tcBorders>
              <w:top w:val="nil"/>
              <w:left w:val="nil"/>
              <w:bottom w:val="nil"/>
              <w:right w:val="nil"/>
            </w:tcBorders>
          </w:tcPr>
          <w:p w14:paraId="5392D3D8" w14:textId="77777777" w:rsidR="0070626F" w:rsidRPr="00697061" w:rsidRDefault="0070626F" w:rsidP="00C911C9">
            <w:pPr>
              <w:spacing w:after="0" w:line="259" w:lineRule="auto"/>
              <w:ind w:left="-1" w:firstLine="0"/>
              <w:jc w:val="left"/>
            </w:pPr>
            <w:r w:rsidRPr="00697061">
              <w:rPr>
                <w:sz w:val="20"/>
              </w:rPr>
              <w:t xml:space="preserve">  </w:t>
            </w:r>
          </w:p>
        </w:tc>
      </w:tr>
      <w:tr w:rsidR="0070626F" w:rsidRPr="00697061" w14:paraId="2356703C" w14:textId="77777777" w:rsidTr="00C911C9">
        <w:trPr>
          <w:trHeight w:val="461"/>
        </w:trPr>
        <w:tc>
          <w:tcPr>
            <w:tcW w:w="10463" w:type="dxa"/>
            <w:gridSpan w:val="3"/>
            <w:tcBorders>
              <w:top w:val="nil"/>
              <w:left w:val="nil"/>
              <w:bottom w:val="nil"/>
              <w:right w:val="nil"/>
            </w:tcBorders>
            <w:shd w:val="clear" w:color="auto" w:fill="FFFF00"/>
          </w:tcPr>
          <w:p w14:paraId="2294037C" w14:textId="77777777" w:rsidR="0070626F" w:rsidRPr="00697061" w:rsidRDefault="0070626F" w:rsidP="00C911C9">
            <w:pPr>
              <w:spacing w:after="0" w:line="259" w:lineRule="auto"/>
              <w:ind w:left="0" w:firstLine="0"/>
            </w:pPr>
            <w:r w:rsidRPr="00697061">
              <w:rPr>
                <w:sz w:val="20"/>
              </w:rPr>
              <w:t xml:space="preserve">« </w:t>
            </w:r>
            <w:r w:rsidRPr="00697061">
              <w:rPr>
                <w:i/>
                <w:sz w:val="20"/>
              </w:rPr>
              <w:t xml:space="preserve">Ces mini-caméras sont pour moi un atout de taille ! Rien que le mois dernier, cela m’a permis de mettre à pied à titre disciplinaire deux salariés qui m’avaient volé un écran dans un de mes entrepôts de Nancy, heureusement pourvus de </w:t>
            </w:r>
          </w:p>
        </w:tc>
      </w:tr>
      <w:tr w:rsidR="0070626F" w:rsidRPr="00697061" w14:paraId="6469A66F" w14:textId="77777777" w:rsidTr="003E7F22">
        <w:trPr>
          <w:trHeight w:val="228"/>
        </w:trPr>
        <w:tc>
          <w:tcPr>
            <w:tcW w:w="10206" w:type="dxa"/>
            <w:gridSpan w:val="2"/>
            <w:tcBorders>
              <w:top w:val="nil"/>
              <w:left w:val="nil"/>
              <w:bottom w:val="nil"/>
              <w:right w:val="nil"/>
            </w:tcBorders>
            <w:shd w:val="clear" w:color="auto" w:fill="FFFF00"/>
          </w:tcPr>
          <w:p w14:paraId="20F0C211" w14:textId="77777777" w:rsidR="0070626F" w:rsidRDefault="0070626F" w:rsidP="00C911C9">
            <w:pPr>
              <w:spacing w:after="0" w:line="259" w:lineRule="auto"/>
              <w:ind w:left="0" w:firstLine="0"/>
              <w:rPr>
                <w:sz w:val="20"/>
              </w:rPr>
            </w:pPr>
            <w:r w:rsidRPr="00697061">
              <w:rPr>
                <w:i/>
                <w:sz w:val="20"/>
              </w:rPr>
              <w:t xml:space="preserve">ces mini-caméras </w:t>
            </w:r>
            <w:r w:rsidRPr="00697061">
              <w:rPr>
                <w:sz w:val="20"/>
              </w:rPr>
              <w:t>».</w:t>
            </w:r>
          </w:p>
          <w:p w14:paraId="0F5735CE" w14:textId="77777777" w:rsidR="003E7F22" w:rsidRDefault="003E7F22" w:rsidP="00C911C9">
            <w:pPr>
              <w:spacing w:after="0" w:line="259" w:lineRule="auto"/>
              <w:ind w:left="0" w:firstLine="0"/>
            </w:pPr>
          </w:p>
          <w:p w14:paraId="60E350F4" w14:textId="2657AC5C" w:rsidR="003E7F22" w:rsidRDefault="003E7F22" w:rsidP="00C911C9">
            <w:pPr>
              <w:spacing w:after="0" w:line="259" w:lineRule="auto"/>
              <w:ind w:left="0" w:firstLine="0"/>
            </w:pPr>
            <w:r>
              <w:t>Question 1 : est-il possible de procédé a des test d’alcoolémie ?</w:t>
            </w:r>
          </w:p>
          <w:p w14:paraId="2C9A59A4" w14:textId="77777777" w:rsidR="003E7F22" w:rsidRDefault="003E7F22" w:rsidP="00C911C9">
            <w:pPr>
              <w:spacing w:after="0" w:line="259" w:lineRule="auto"/>
              <w:ind w:left="0" w:firstLine="0"/>
            </w:pPr>
          </w:p>
          <w:p w14:paraId="078787AA" w14:textId="4B53988D" w:rsidR="003E7F22" w:rsidRDefault="003E7F22" w:rsidP="00C911C9">
            <w:pPr>
              <w:spacing w:after="0" w:line="259" w:lineRule="auto"/>
              <w:ind w:left="0" w:firstLine="0"/>
            </w:pPr>
            <w:r>
              <w:t>La loi prévoit la possibilité de porter atteinte au liberté individuel si cela est justifié et proportionné, tel est la solution de l’article L</w:t>
            </w:r>
          </w:p>
          <w:p w14:paraId="0F219207" w14:textId="1299AB0F" w:rsidR="003E7F22" w:rsidRDefault="003E7F22" w:rsidP="00C911C9">
            <w:pPr>
              <w:spacing w:after="0" w:line="259" w:lineRule="auto"/>
              <w:ind w:left="0" w:firstLine="0"/>
            </w:pPr>
            <w:r>
              <w:t xml:space="preserve">En l’espèce il s’agit d’une usine en maniements de machine , il est important que les ouvriers ne soit pas blessé suite </w:t>
            </w:r>
            <w:proofErr w:type="spellStart"/>
            <w:r>
              <w:t>a</w:t>
            </w:r>
            <w:proofErr w:type="spellEnd"/>
            <w:r>
              <w:t xml:space="preserve"> une consommation d’alcool ou de stupéfiant</w:t>
            </w:r>
          </w:p>
          <w:p w14:paraId="486387C3" w14:textId="4634750F" w:rsidR="003E7F22" w:rsidRDefault="003E7F22" w:rsidP="00C911C9">
            <w:pPr>
              <w:spacing w:after="0" w:line="259" w:lineRule="auto"/>
              <w:ind w:left="0" w:firstLine="0"/>
            </w:pPr>
            <w:r>
              <w:t xml:space="preserve">Par conséquent l’employeur a la possibilité d’organisé des test d’éthylomètre </w:t>
            </w:r>
          </w:p>
          <w:p w14:paraId="48667D3F" w14:textId="77777777" w:rsidR="003E7F22" w:rsidRDefault="003E7F22" w:rsidP="00C911C9">
            <w:pPr>
              <w:spacing w:after="0" w:line="259" w:lineRule="auto"/>
              <w:ind w:left="0" w:firstLine="0"/>
            </w:pPr>
          </w:p>
          <w:p w14:paraId="092F3F07" w14:textId="77777777" w:rsidR="003E7F22" w:rsidRDefault="003E7F22" w:rsidP="00C911C9">
            <w:pPr>
              <w:spacing w:after="0" w:line="259" w:lineRule="auto"/>
              <w:ind w:left="0" w:firstLine="0"/>
            </w:pPr>
            <w:r>
              <w:lastRenderedPageBreak/>
              <w:t>Question 2 : est-il légal de filmer les salariés ?</w:t>
            </w:r>
          </w:p>
          <w:p w14:paraId="126425C7" w14:textId="77777777" w:rsidR="003E7F22" w:rsidRDefault="003E7F22" w:rsidP="00C911C9">
            <w:pPr>
              <w:spacing w:after="0" w:line="259" w:lineRule="auto"/>
              <w:ind w:left="0" w:firstLine="0"/>
            </w:pPr>
          </w:p>
          <w:p w14:paraId="56DFC8FA" w14:textId="787B3802" w:rsidR="003E7F22" w:rsidRDefault="00A726F2" w:rsidP="00C911C9">
            <w:pPr>
              <w:spacing w:after="0" w:line="259" w:lineRule="auto"/>
              <w:ind w:left="0" w:firstLine="0"/>
            </w:pPr>
            <w:r>
              <w:t xml:space="preserve">L’article 1222-4 du Code de travail prévoit à employeur d’organisé une surveillance électronique de ces salariés </w:t>
            </w:r>
            <w:proofErr w:type="spellStart"/>
            <w:r>
              <w:t>a</w:t>
            </w:r>
            <w:proofErr w:type="spellEnd"/>
            <w:r>
              <w:t xml:space="preserve"> condition que cela est été porté au préalable à leur connaissance.</w:t>
            </w:r>
          </w:p>
          <w:p w14:paraId="461C6C83" w14:textId="3D657661" w:rsidR="00A726F2" w:rsidRPr="00697061" w:rsidRDefault="00A726F2" w:rsidP="00C911C9">
            <w:pPr>
              <w:spacing w:after="0" w:line="259" w:lineRule="auto"/>
              <w:ind w:left="0" w:firstLine="0"/>
            </w:pPr>
            <w:r>
              <w:t xml:space="preserve">En l’espèce, </w:t>
            </w:r>
          </w:p>
        </w:tc>
        <w:tc>
          <w:tcPr>
            <w:tcW w:w="257" w:type="dxa"/>
            <w:tcBorders>
              <w:top w:val="nil"/>
              <w:left w:val="nil"/>
              <w:bottom w:val="nil"/>
              <w:right w:val="nil"/>
            </w:tcBorders>
          </w:tcPr>
          <w:p w14:paraId="7230B3DB" w14:textId="77777777" w:rsidR="003E7F22" w:rsidRDefault="003E7F22" w:rsidP="00C911C9">
            <w:pPr>
              <w:spacing w:after="0" w:line="259" w:lineRule="auto"/>
              <w:ind w:left="0" w:firstLine="0"/>
              <w:jc w:val="left"/>
              <w:rPr>
                <w:sz w:val="20"/>
              </w:rPr>
            </w:pPr>
          </w:p>
          <w:p w14:paraId="1B88F4C1" w14:textId="702262AF" w:rsidR="003E7F22" w:rsidRDefault="0070626F" w:rsidP="00C911C9">
            <w:pPr>
              <w:spacing w:after="0" w:line="259" w:lineRule="auto"/>
              <w:ind w:left="0" w:firstLine="0"/>
              <w:jc w:val="left"/>
              <w:rPr>
                <w:sz w:val="20"/>
              </w:rPr>
            </w:pPr>
            <w:r w:rsidRPr="00697061">
              <w:rPr>
                <w:sz w:val="20"/>
              </w:rPr>
              <w:t xml:space="preserve">    </w:t>
            </w:r>
          </w:p>
          <w:p w14:paraId="4B7BB8B4" w14:textId="45A30F26" w:rsidR="0070626F" w:rsidRPr="00697061" w:rsidRDefault="0070626F" w:rsidP="00C911C9">
            <w:pPr>
              <w:spacing w:after="0" w:line="259" w:lineRule="auto"/>
              <w:ind w:left="0" w:firstLine="0"/>
              <w:jc w:val="left"/>
            </w:pPr>
            <w:r w:rsidRPr="00697061">
              <w:rPr>
                <w:sz w:val="20"/>
              </w:rPr>
              <w:t xml:space="preserve">  </w:t>
            </w:r>
          </w:p>
        </w:tc>
      </w:tr>
    </w:tbl>
    <w:p w14:paraId="4422D062" w14:textId="77777777" w:rsidR="0070626F" w:rsidRPr="00697061" w:rsidRDefault="0070626F" w:rsidP="0070626F">
      <w:pPr>
        <w:spacing w:after="0" w:line="259" w:lineRule="auto"/>
        <w:ind w:left="0" w:firstLine="0"/>
        <w:jc w:val="left"/>
      </w:pPr>
      <w:r w:rsidRPr="00697061">
        <w:rPr>
          <w:sz w:val="20"/>
        </w:rPr>
        <w:t xml:space="preserve"> </w:t>
      </w:r>
    </w:p>
    <w:tbl>
      <w:tblPr>
        <w:tblStyle w:val="TableGrid"/>
        <w:tblW w:w="10463" w:type="dxa"/>
        <w:tblInd w:w="0" w:type="dxa"/>
        <w:tblCellMar>
          <w:top w:w="4" w:type="dxa"/>
        </w:tblCellMar>
        <w:tblLook w:val="04A0" w:firstRow="1" w:lastRow="0" w:firstColumn="1" w:lastColumn="0" w:noHBand="0" w:noVBand="1"/>
      </w:tblPr>
      <w:tblGrid>
        <w:gridCol w:w="9923"/>
        <w:gridCol w:w="540"/>
      </w:tblGrid>
      <w:tr w:rsidR="0070626F" w:rsidRPr="00697061" w14:paraId="6C909EC6" w14:textId="77777777" w:rsidTr="00C911C9">
        <w:trPr>
          <w:trHeight w:val="1380"/>
        </w:trPr>
        <w:tc>
          <w:tcPr>
            <w:tcW w:w="10463" w:type="dxa"/>
            <w:gridSpan w:val="2"/>
            <w:tcBorders>
              <w:top w:val="nil"/>
              <w:left w:val="nil"/>
              <w:bottom w:val="nil"/>
              <w:right w:val="nil"/>
            </w:tcBorders>
            <w:shd w:val="clear" w:color="auto" w:fill="FFFF00"/>
          </w:tcPr>
          <w:p w14:paraId="06A11433" w14:textId="77777777" w:rsidR="0070626F" w:rsidRPr="00697061" w:rsidRDefault="0070626F" w:rsidP="00C911C9">
            <w:pPr>
              <w:spacing w:after="0" w:line="259" w:lineRule="auto"/>
              <w:ind w:left="0" w:right="1" w:firstLine="0"/>
            </w:pPr>
            <w:r w:rsidRPr="00697061">
              <w:rPr>
                <w:sz w:val="20"/>
              </w:rPr>
              <w:t>III – L’entreprise CARTMAN est dans la tourmente médiatique : un journal national vient de publier récemment une</w:t>
            </w:r>
            <w:r w:rsidRPr="00697061">
              <w:rPr>
                <w:sz w:val="22"/>
              </w:rPr>
              <w:t xml:space="preserve"> </w:t>
            </w:r>
            <w:r w:rsidRPr="00697061">
              <w:rPr>
                <w:sz w:val="20"/>
              </w:rPr>
              <w:t xml:space="preserve">note interne (classée confidentielle) de la Direction de CARTMAN adressée à la DRH, intitulée « </w:t>
            </w:r>
            <w:r w:rsidRPr="00697061">
              <w:rPr>
                <w:i/>
                <w:sz w:val="20"/>
              </w:rPr>
              <w:t>Représailles</w:t>
            </w:r>
            <w:r w:rsidRPr="00697061">
              <w:rPr>
                <w:sz w:val="20"/>
              </w:rPr>
              <w:t xml:space="preserve"> », dans laquelle il est recommandé de « </w:t>
            </w:r>
            <w:r w:rsidRPr="00697061">
              <w:rPr>
                <w:i/>
                <w:sz w:val="20"/>
              </w:rPr>
              <w:t>mettre en œuvre toute action en vue de</w:t>
            </w:r>
            <w:r w:rsidRPr="00697061">
              <w:rPr>
                <w:sz w:val="20"/>
              </w:rPr>
              <w:t xml:space="preserve"> </w:t>
            </w:r>
            <w:r w:rsidRPr="00697061">
              <w:rPr>
                <w:i/>
                <w:sz w:val="20"/>
              </w:rPr>
              <w:t xml:space="preserve">faire payer tous les syndiqués pour la grève d’août dernier </w:t>
            </w:r>
            <w:r w:rsidRPr="00697061">
              <w:rPr>
                <w:sz w:val="20"/>
              </w:rPr>
              <w:t xml:space="preserve">». La note mentionnait notamment des refus d’augmentation de salaires ou des licenciements déguisés, en cas de reproche(s) même minime(s). ROBERT, syndiqué CGT, a immédiatement saisi le Conseil de prud’hommes pour discrimination salariale car toute son équipe a été augmentée sauf lui. Il réclame d’ailleurs en référé les bulletins de </w:t>
            </w:r>
          </w:p>
        </w:tc>
      </w:tr>
      <w:tr w:rsidR="0070626F" w:rsidRPr="00697061" w14:paraId="09BE8700" w14:textId="77777777" w:rsidTr="00277B99">
        <w:trPr>
          <w:trHeight w:val="230"/>
        </w:trPr>
        <w:tc>
          <w:tcPr>
            <w:tcW w:w="9923" w:type="dxa"/>
            <w:tcBorders>
              <w:top w:val="nil"/>
              <w:left w:val="nil"/>
              <w:bottom w:val="nil"/>
              <w:right w:val="nil"/>
            </w:tcBorders>
            <w:shd w:val="clear" w:color="auto" w:fill="FFFF00"/>
          </w:tcPr>
          <w:p w14:paraId="7AB20466" w14:textId="77777777" w:rsidR="0070626F" w:rsidRDefault="0070626F" w:rsidP="00C911C9">
            <w:pPr>
              <w:spacing w:after="0" w:line="259" w:lineRule="auto"/>
              <w:ind w:left="0" w:firstLine="0"/>
              <w:rPr>
                <w:sz w:val="20"/>
              </w:rPr>
            </w:pPr>
            <w:r w:rsidRPr="00697061">
              <w:rPr>
                <w:sz w:val="20"/>
              </w:rPr>
              <w:t>paye de son équipe.</w:t>
            </w:r>
          </w:p>
          <w:p w14:paraId="6625DC23" w14:textId="77777777" w:rsidR="00277B99" w:rsidRDefault="00277B99" w:rsidP="00C911C9">
            <w:pPr>
              <w:spacing w:after="0" w:line="259" w:lineRule="auto"/>
              <w:ind w:left="0" w:firstLine="0"/>
              <w:rPr>
                <w:sz w:val="20"/>
              </w:rPr>
            </w:pPr>
          </w:p>
          <w:p w14:paraId="1D593E58" w14:textId="77E03791" w:rsidR="00277B99" w:rsidRDefault="00277B99" w:rsidP="00C911C9">
            <w:pPr>
              <w:spacing w:after="0" w:line="259" w:lineRule="auto"/>
              <w:ind w:left="0" w:firstLine="0"/>
              <w:rPr>
                <w:sz w:val="20"/>
              </w:rPr>
            </w:pPr>
            <w:r>
              <w:rPr>
                <w:sz w:val="20"/>
              </w:rPr>
              <w:t>Question 1 : est-il possible de sanctionné les salariés syndiqué qui ont participés a une grève ?</w:t>
            </w:r>
          </w:p>
          <w:p w14:paraId="2D880455" w14:textId="46077744" w:rsidR="00277B99" w:rsidRDefault="00277B99" w:rsidP="00C911C9">
            <w:pPr>
              <w:spacing w:after="0" w:line="259" w:lineRule="auto"/>
              <w:ind w:left="0" w:firstLine="0"/>
              <w:rPr>
                <w:sz w:val="20"/>
              </w:rPr>
            </w:pPr>
          </w:p>
          <w:p w14:paraId="4A7892D3" w14:textId="034DB007" w:rsidR="00225113" w:rsidRDefault="00225113" w:rsidP="00C911C9">
            <w:pPr>
              <w:spacing w:after="0" w:line="259" w:lineRule="auto"/>
              <w:ind w:left="0" w:firstLine="0"/>
              <w:rPr>
                <w:sz w:val="20"/>
              </w:rPr>
            </w:pPr>
            <w:r>
              <w:rPr>
                <w:sz w:val="20"/>
              </w:rPr>
              <w:t>1° il faut un préavis</w:t>
            </w:r>
          </w:p>
          <w:p w14:paraId="2ED4E521" w14:textId="5355A70E" w:rsidR="00225113" w:rsidRDefault="00225113" w:rsidP="00C911C9">
            <w:pPr>
              <w:spacing w:after="0" w:line="259" w:lineRule="auto"/>
              <w:ind w:left="0" w:firstLine="0"/>
              <w:rPr>
                <w:sz w:val="20"/>
              </w:rPr>
            </w:pPr>
            <w:r>
              <w:rPr>
                <w:sz w:val="20"/>
              </w:rPr>
              <w:t xml:space="preserve">2° les revendications préalable refusé </w:t>
            </w:r>
          </w:p>
          <w:p w14:paraId="6AA263F1" w14:textId="3A626A50" w:rsidR="00225113" w:rsidRDefault="00225113" w:rsidP="00C911C9">
            <w:pPr>
              <w:spacing w:after="0" w:line="259" w:lineRule="auto"/>
              <w:ind w:left="0" w:firstLine="0"/>
              <w:rPr>
                <w:sz w:val="20"/>
              </w:rPr>
            </w:pPr>
            <w:r>
              <w:rPr>
                <w:sz w:val="20"/>
              </w:rPr>
              <w:t xml:space="preserve">3° Il faut que la grève porte sur des éléments liés </w:t>
            </w:r>
            <w:proofErr w:type="spellStart"/>
            <w:r>
              <w:rPr>
                <w:sz w:val="20"/>
              </w:rPr>
              <w:t>a</w:t>
            </w:r>
            <w:proofErr w:type="spellEnd"/>
            <w:r>
              <w:rPr>
                <w:sz w:val="20"/>
              </w:rPr>
              <w:t xml:space="preserve"> des entreprises </w:t>
            </w:r>
          </w:p>
          <w:p w14:paraId="357E0A40" w14:textId="77777777" w:rsidR="00225113" w:rsidRDefault="00225113" w:rsidP="00C911C9">
            <w:pPr>
              <w:spacing w:after="0" w:line="259" w:lineRule="auto"/>
              <w:ind w:left="0" w:firstLine="0"/>
              <w:rPr>
                <w:sz w:val="20"/>
              </w:rPr>
            </w:pPr>
          </w:p>
          <w:p w14:paraId="51562481" w14:textId="3083117C" w:rsidR="00AE13C5" w:rsidRDefault="00AE13C5" w:rsidP="00C911C9">
            <w:pPr>
              <w:spacing w:after="0" w:line="259" w:lineRule="auto"/>
              <w:ind w:left="0" w:firstLine="0"/>
              <w:rPr>
                <w:sz w:val="20"/>
              </w:rPr>
            </w:pPr>
            <w:r>
              <w:rPr>
                <w:sz w:val="20"/>
              </w:rPr>
              <w:t>Les choses interdite pendant les grèves :</w:t>
            </w:r>
          </w:p>
          <w:p w14:paraId="29FE5E28" w14:textId="5A3DB7A5" w:rsidR="00AE13C5" w:rsidRPr="003936BD" w:rsidRDefault="00AE13C5" w:rsidP="003936BD">
            <w:pPr>
              <w:pStyle w:val="Paragraphedeliste"/>
              <w:numPr>
                <w:ilvl w:val="0"/>
                <w:numId w:val="2"/>
              </w:numPr>
              <w:spacing w:after="0" w:line="259" w:lineRule="auto"/>
              <w:rPr>
                <w:sz w:val="20"/>
              </w:rPr>
            </w:pPr>
            <w:r w:rsidRPr="003936BD">
              <w:rPr>
                <w:sz w:val="20"/>
              </w:rPr>
              <w:t xml:space="preserve">Les piqués grève </w:t>
            </w:r>
          </w:p>
          <w:p w14:paraId="67CD8ACC" w14:textId="77777777" w:rsidR="00277B99" w:rsidRDefault="00277B99" w:rsidP="00C911C9">
            <w:pPr>
              <w:spacing w:after="0" w:line="259" w:lineRule="auto"/>
              <w:ind w:left="0" w:firstLine="0"/>
            </w:pPr>
            <w:r>
              <w:t xml:space="preserve">Question 2 : Est-il possible de sanctionné </w:t>
            </w:r>
            <w:r w:rsidR="00225113">
              <w:t>la publication dans un journal d’</w:t>
            </w:r>
            <w:r>
              <w:t xml:space="preserve">une note </w:t>
            </w:r>
            <w:r w:rsidR="00225113">
              <w:t xml:space="preserve">interne ? </w:t>
            </w:r>
          </w:p>
          <w:p w14:paraId="23F6941A" w14:textId="77777777" w:rsidR="003936BD" w:rsidRDefault="003936BD" w:rsidP="00C911C9">
            <w:pPr>
              <w:spacing w:after="0" w:line="259" w:lineRule="auto"/>
              <w:ind w:left="0" w:firstLine="0"/>
            </w:pPr>
          </w:p>
          <w:p w14:paraId="0327FF41" w14:textId="5965E558" w:rsidR="003936BD" w:rsidRPr="00697061" w:rsidRDefault="003936BD" w:rsidP="00C911C9">
            <w:pPr>
              <w:spacing w:after="0" w:line="259" w:lineRule="auto"/>
              <w:ind w:left="0" w:firstLine="0"/>
            </w:pPr>
            <w:r>
              <w:t xml:space="preserve">Peut être sanctionné au titre de la diffamation </w:t>
            </w:r>
          </w:p>
        </w:tc>
        <w:tc>
          <w:tcPr>
            <w:tcW w:w="540" w:type="dxa"/>
            <w:tcBorders>
              <w:top w:val="nil"/>
              <w:left w:val="nil"/>
              <w:bottom w:val="nil"/>
              <w:right w:val="nil"/>
            </w:tcBorders>
          </w:tcPr>
          <w:p w14:paraId="307814B1" w14:textId="77777777" w:rsidR="0070626F" w:rsidRPr="00697061" w:rsidRDefault="0070626F" w:rsidP="00C911C9">
            <w:pPr>
              <w:spacing w:after="0" w:line="259" w:lineRule="auto"/>
              <w:ind w:left="-2" w:firstLine="0"/>
              <w:jc w:val="left"/>
            </w:pPr>
            <w:r w:rsidRPr="00697061">
              <w:rPr>
                <w:sz w:val="20"/>
              </w:rPr>
              <w:t xml:space="preserve">  </w:t>
            </w:r>
          </w:p>
        </w:tc>
      </w:tr>
    </w:tbl>
    <w:p w14:paraId="6D4DB40F" w14:textId="77777777" w:rsidR="0070626F" w:rsidRPr="00697061" w:rsidRDefault="0070626F" w:rsidP="0070626F">
      <w:pPr>
        <w:spacing w:after="0" w:line="259" w:lineRule="auto"/>
        <w:ind w:left="0" w:firstLine="0"/>
        <w:jc w:val="left"/>
      </w:pPr>
      <w:r w:rsidRPr="00697061">
        <w:rPr>
          <w:sz w:val="20"/>
        </w:rPr>
        <w:t xml:space="preserve"> </w:t>
      </w:r>
    </w:p>
    <w:tbl>
      <w:tblPr>
        <w:tblStyle w:val="TableGrid"/>
        <w:tblW w:w="10463" w:type="dxa"/>
        <w:tblInd w:w="0" w:type="dxa"/>
        <w:tblCellMar>
          <w:top w:w="4" w:type="dxa"/>
        </w:tblCellMar>
        <w:tblLook w:val="04A0" w:firstRow="1" w:lastRow="0" w:firstColumn="1" w:lastColumn="0" w:noHBand="0" w:noVBand="1"/>
      </w:tblPr>
      <w:tblGrid>
        <w:gridCol w:w="7938"/>
        <w:gridCol w:w="426"/>
        <w:gridCol w:w="2099"/>
      </w:tblGrid>
      <w:tr w:rsidR="0070626F" w:rsidRPr="00697061" w14:paraId="2C49ADF0" w14:textId="77777777" w:rsidTr="00C911C9">
        <w:trPr>
          <w:trHeight w:val="458"/>
        </w:trPr>
        <w:tc>
          <w:tcPr>
            <w:tcW w:w="10463" w:type="dxa"/>
            <w:gridSpan w:val="3"/>
            <w:tcBorders>
              <w:top w:val="nil"/>
              <w:left w:val="nil"/>
              <w:bottom w:val="nil"/>
              <w:right w:val="nil"/>
            </w:tcBorders>
            <w:shd w:val="clear" w:color="auto" w:fill="FFFF00"/>
          </w:tcPr>
          <w:p w14:paraId="590191F8" w14:textId="77777777" w:rsidR="0070626F" w:rsidRPr="00697061" w:rsidRDefault="0070626F" w:rsidP="00C911C9">
            <w:pPr>
              <w:spacing w:after="0" w:line="259" w:lineRule="auto"/>
              <w:ind w:left="0" w:firstLine="0"/>
            </w:pPr>
            <w:r w:rsidRPr="00697061">
              <w:rPr>
                <w:sz w:val="20"/>
              </w:rPr>
              <w:t xml:space="preserve">IV – STAN, chargé du recrutement au service RH, est embêté par les tensions de plus en vives entre cadres et non cadres. Ces derniers se plaignent notamment de jours de congés moins nombreux, de préavis plus courts en cas de </w:t>
            </w:r>
          </w:p>
        </w:tc>
      </w:tr>
      <w:tr w:rsidR="0070626F" w:rsidRPr="00697061" w14:paraId="4AE8E028" w14:textId="77777777" w:rsidTr="00E515F5">
        <w:trPr>
          <w:trHeight w:val="230"/>
        </w:trPr>
        <w:tc>
          <w:tcPr>
            <w:tcW w:w="8364" w:type="dxa"/>
            <w:gridSpan w:val="2"/>
            <w:tcBorders>
              <w:top w:val="nil"/>
              <w:left w:val="nil"/>
              <w:bottom w:val="nil"/>
              <w:right w:val="nil"/>
            </w:tcBorders>
            <w:shd w:val="clear" w:color="auto" w:fill="FFFF00"/>
          </w:tcPr>
          <w:p w14:paraId="21A297AC" w14:textId="77777777" w:rsidR="0070626F" w:rsidRPr="00697061" w:rsidRDefault="0070626F" w:rsidP="00C911C9">
            <w:pPr>
              <w:spacing w:after="0" w:line="259" w:lineRule="auto"/>
              <w:ind w:left="0" w:firstLine="0"/>
            </w:pPr>
            <w:r w:rsidRPr="00697061">
              <w:rPr>
                <w:sz w:val="20"/>
              </w:rPr>
              <w:t>licenciement et de primes réservées aux cadres.</w:t>
            </w:r>
          </w:p>
        </w:tc>
        <w:tc>
          <w:tcPr>
            <w:tcW w:w="2099" w:type="dxa"/>
            <w:vMerge w:val="restart"/>
            <w:tcBorders>
              <w:top w:val="nil"/>
              <w:left w:val="nil"/>
              <w:bottom w:val="nil"/>
              <w:right w:val="nil"/>
            </w:tcBorders>
          </w:tcPr>
          <w:p w14:paraId="75A15FE6" w14:textId="77777777" w:rsidR="0070626F" w:rsidRPr="00697061" w:rsidRDefault="0070626F" w:rsidP="00C911C9">
            <w:pPr>
              <w:spacing w:after="0" w:line="259" w:lineRule="auto"/>
              <w:ind w:left="-1" w:firstLine="0"/>
              <w:jc w:val="left"/>
            </w:pPr>
            <w:r w:rsidRPr="00697061">
              <w:rPr>
                <w:sz w:val="20"/>
              </w:rPr>
              <w:t xml:space="preserve">  </w:t>
            </w:r>
          </w:p>
        </w:tc>
      </w:tr>
      <w:tr w:rsidR="0070626F" w:rsidRPr="00697061" w14:paraId="3DA26D16" w14:textId="77777777" w:rsidTr="00E515F5">
        <w:trPr>
          <w:trHeight w:val="231"/>
        </w:trPr>
        <w:tc>
          <w:tcPr>
            <w:tcW w:w="7938" w:type="dxa"/>
            <w:tcBorders>
              <w:top w:val="nil"/>
              <w:left w:val="nil"/>
              <w:bottom w:val="nil"/>
              <w:right w:val="nil"/>
            </w:tcBorders>
            <w:shd w:val="clear" w:color="auto" w:fill="FFFF00"/>
          </w:tcPr>
          <w:p w14:paraId="5125F662" w14:textId="77777777" w:rsidR="0070626F" w:rsidRDefault="0070626F" w:rsidP="00C911C9">
            <w:pPr>
              <w:spacing w:after="0" w:line="259" w:lineRule="auto"/>
              <w:ind w:left="0" w:firstLine="0"/>
              <w:rPr>
                <w:sz w:val="20"/>
              </w:rPr>
            </w:pPr>
            <w:r w:rsidRPr="00697061">
              <w:rPr>
                <w:sz w:val="20"/>
              </w:rPr>
              <w:t>Qu’en pensez-vous ?</w:t>
            </w:r>
          </w:p>
          <w:p w14:paraId="5419D21D" w14:textId="77777777" w:rsidR="00E515F5" w:rsidRDefault="00E515F5" w:rsidP="00C911C9">
            <w:pPr>
              <w:spacing w:after="0" w:line="259" w:lineRule="auto"/>
              <w:ind w:left="0" w:firstLine="0"/>
              <w:rPr>
                <w:sz w:val="20"/>
              </w:rPr>
            </w:pPr>
          </w:p>
          <w:p w14:paraId="340EF5AE" w14:textId="67FEB2FC" w:rsidR="00E515F5" w:rsidRDefault="00E515F5" w:rsidP="00C911C9">
            <w:pPr>
              <w:spacing w:after="0" w:line="259" w:lineRule="auto"/>
              <w:ind w:left="0" w:firstLine="0"/>
              <w:rPr>
                <w:sz w:val="20"/>
              </w:rPr>
            </w:pPr>
            <w:r>
              <w:rPr>
                <w:sz w:val="20"/>
              </w:rPr>
              <w:t xml:space="preserve">Peut-on discriminé les cadres par rapport aux non-cadres ? </w:t>
            </w:r>
          </w:p>
          <w:p w14:paraId="5F5CF507" w14:textId="77777777" w:rsidR="00E515F5" w:rsidRDefault="00E515F5" w:rsidP="00C911C9">
            <w:pPr>
              <w:spacing w:after="0" w:line="259" w:lineRule="auto"/>
              <w:ind w:left="0" w:firstLine="0"/>
            </w:pPr>
            <w:r>
              <w:t>Les avantages des cadres sont il discriminatoire aux agents de maîtrise et aux autres employés ou ouvriers</w:t>
            </w:r>
            <w:r w:rsidR="00277B99">
              <w:t> ?</w:t>
            </w:r>
          </w:p>
          <w:p w14:paraId="62EC440F" w14:textId="28F23EEC" w:rsidR="00277B99" w:rsidRPr="00697061" w:rsidRDefault="00277B99" w:rsidP="00C911C9">
            <w:pPr>
              <w:spacing w:after="0" w:line="259" w:lineRule="auto"/>
              <w:ind w:left="0" w:firstLine="0"/>
            </w:pPr>
          </w:p>
        </w:tc>
        <w:tc>
          <w:tcPr>
            <w:tcW w:w="426" w:type="dxa"/>
            <w:tcBorders>
              <w:top w:val="nil"/>
              <w:left w:val="nil"/>
              <w:bottom w:val="nil"/>
              <w:right w:val="nil"/>
            </w:tcBorders>
          </w:tcPr>
          <w:p w14:paraId="1CFBD203" w14:textId="77777777" w:rsidR="0070626F" w:rsidRPr="00697061" w:rsidRDefault="0070626F" w:rsidP="00C911C9">
            <w:pPr>
              <w:spacing w:after="0" w:line="259" w:lineRule="auto"/>
              <w:ind w:left="0" w:firstLine="0"/>
              <w:jc w:val="left"/>
            </w:pPr>
            <w:r w:rsidRPr="00697061">
              <w:rPr>
                <w:sz w:val="16"/>
              </w:rPr>
              <w:t xml:space="preserve"> </w:t>
            </w:r>
          </w:p>
        </w:tc>
        <w:tc>
          <w:tcPr>
            <w:tcW w:w="2099" w:type="dxa"/>
            <w:vMerge/>
            <w:tcBorders>
              <w:top w:val="nil"/>
              <w:left w:val="nil"/>
              <w:bottom w:val="nil"/>
              <w:right w:val="nil"/>
            </w:tcBorders>
          </w:tcPr>
          <w:p w14:paraId="03B47969" w14:textId="77777777" w:rsidR="0070626F" w:rsidRPr="00697061" w:rsidRDefault="0070626F" w:rsidP="00C911C9">
            <w:pPr>
              <w:spacing w:after="160" w:line="259" w:lineRule="auto"/>
              <w:ind w:left="0" w:firstLine="0"/>
              <w:jc w:val="left"/>
            </w:pPr>
          </w:p>
        </w:tc>
      </w:tr>
    </w:tbl>
    <w:p w14:paraId="0F17F3B3" w14:textId="77777777" w:rsidR="008C1620" w:rsidRDefault="008C1620"/>
    <w:p w14:paraId="19CB24ED" w14:textId="77777777" w:rsidR="0070626F" w:rsidRDefault="0070626F"/>
    <w:sectPr w:rsidR="007062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A18D2"/>
    <w:multiLevelType w:val="hybridMultilevel"/>
    <w:tmpl w:val="C38A0B74"/>
    <w:lvl w:ilvl="0" w:tplc="E558FD8E">
      <w:start w:val="1"/>
      <w:numFmt w:val="bullet"/>
      <w:lvlText w:val="¾"/>
      <w:lvlJc w:val="left"/>
      <w:pPr>
        <w:ind w:left="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F76823C">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FCC7B9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53ED2A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DE42E0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536405A">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D04271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8B264F0">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5C6C34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FE838FB"/>
    <w:multiLevelType w:val="hybridMultilevel"/>
    <w:tmpl w:val="D5B661BC"/>
    <w:lvl w:ilvl="0" w:tplc="B8D0883C">
      <w:start w:val="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4453188">
    <w:abstractNumId w:val="0"/>
  </w:num>
  <w:num w:numId="2" w16cid:durableId="1036932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6F"/>
    <w:rsid w:val="00180775"/>
    <w:rsid w:val="001A55D8"/>
    <w:rsid w:val="00225113"/>
    <w:rsid w:val="00277B99"/>
    <w:rsid w:val="00300237"/>
    <w:rsid w:val="003936BD"/>
    <w:rsid w:val="003E7F22"/>
    <w:rsid w:val="00401954"/>
    <w:rsid w:val="00586535"/>
    <w:rsid w:val="006C5DDC"/>
    <w:rsid w:val="0070626F"/>
    <w:rsid w:val="008C1620"/>
    <w:rsid w:val="009831F7"/>
    <w:rsid w:val="00A05602"/>
    <w:rsid w:val="00A34CDD"/>
    <w:rsid w:val="00A726F2"/>
    <w:rsid w:val="00AC1DF5"/>
    <w:rsid w:val="00AE13C5"/>
    <w:rsid w:val="00B1083A"/>
    <w:rsid w:val="00D018FD"/>
    <w:rsid w:val="00E515F5"/>
    <w:rsid w:val="00FD7AB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4E556B9E"/>
  <w15:chartTrackingRefBased/>
  <w15:docId w15:val="{68E7BAF0-BEF0-3B4F-A178-335C7EF1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6F"/>
    <w:pPr>
      <w:spacing w:after="4" w:line="247" w:lineRule="auto"/>
      <w:ind w:left="10" w:hanging="10"/>
      <w:jc w:val="both"/>
    </w:pPr>
    <w:rPr>
      <w:rFonts w:ascii="Arial" w:eastAsia="Arial" w:hAnsi="Arial" w:cs="Arial"/>
      <w:color w:val="000000"/>
      <w:sz w:val="18"/>
      <w:lang w:eastAsia="fr-FR"/>
    </w:rPr>
  </w:style>
  <w:style w:type="paragraph" w:styleId="Titre1">
    <w:name w:val="heading 1"/>
    <w:basedOn w:val="Normal"/>
    <w:next w:val="Normal"/>
    <w:link w:val="Titre1Car"/>
    <w:uiPriority w:val="9"/>
    <w:qFormat/>
    <w:rsid w:val="007062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062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0626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70626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0626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0626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0626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0626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0626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626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0626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0626F"/>
    <w:rPr>
      <w:rFonts w:eastAsiaTheme="majorEastAsia" w:cstheme="majorBidi"/>
      <w:color w:val="2F5496" w:themeColor="accent1" w:themeShade="BF"/>
      <w:sz w:val="28"/>
      <w:szCs w:val="28"/>
    </w:rPr>
  </w:style>
  <w:style w:type="character" w:customStyle="1" w:styleId="Titre4Car">
    <w:name w:val="Titre 4 Car"/>
    <w:basedOn w:val="Policepardfaut"/>
    <w:link w:val="Titre4"/>
    <w:rsid w:val="0070626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0626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0626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0626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0626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0626F"/>
    <w:rPr>
      <w:rFonts w:eastAsiaTheme="majorEastAsia" w:cstheme="majorBidi"/>
      <w:color w:val="272727" w:themeColor="text1" w:themeTint="D8"/>
    </w:rPr>
  </w:style>
  <w:style w:type="paragraph" w:styleId="Titre">
    <w:name w:val="Title"/>
    <w:basedOn w:val="Normal"/>
    <w:next w:val="Normal"/>
    <w:link w:val="TitreCar"/>
    <w:uiPriority w:val="10"/>
    <w:qFormat/>
    <w:rsid w:val="0070626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062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0626F"/>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0626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0626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0626F"/>
    <w:rPr>
      <w:i/>
      <w:iCs/>
      <w:color w:val="404040" w:themeColor="text1" w:themeTint="BF"/>
    </w:rPr>
  </w:style>
  <w:style w:type="paragraph" w:styleId="Paragraphedeliste">
    <w:name w:val="List Paragraph"/>
    <w:basedOn w:val="Normal"/>
    <w:uiPriority w:val="34"/>
    <w:qFormat/>
    <w:rsid w:val="0070626F"/>
    <w:pPr>
      <w:ind w:left="720"/>
      <w:contextualSpacing/>
    </w:pPr>
  </w:style>
  <w:style w:type="character" w:styleId="Accentuationintense">
    <w:name w:val="Intense Emphasis"/>
    <w:basedOn w:val="Policepardfaut"/>
    <w:uiPriority w:val="21"/>
    <w:qFormat/>
    <w:rsid w:val="0070626F"/>
    <w:rPr>
      <w:i/>
      <w:iCs/>
      <w:color w:val="2F5496" w:themeColor="accent1" w:themeShade="BF"/>
    </w:rPr>
  </w:style>
  <w:style w:type="paragraph" w:styleId="Citationintense">
    <w:name w:val="Intense Quote"/>
    <w:basedOn w:val="Normal"/>
    <w:next w:val="Normal"/>
    <w:link w:val="CitationintenseCar"/>
    <w:uiPriority w:val="30"/>
    <w:qFormat/>
    <w:rsid w:val="007062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0626F"/>
    <w:rPr>
      <w:i/>
      <w:iCs/>
      <w:color w:val="2F5496" w:themeColor="accent1" w:themeShade="BF"/>
    </w:rPr>
  </w:style>
  <w:style w:type="character" w:styleId="Rfrenceintense">
    <w:name w:val="Intense Reference"/>
    <w:basedOn w:val="Policepardfaut"/>
    <w:uiPriority w:val="32"/>
    <w:qFormat/>
    <w:rsid w:val="0070626F"/>
    <w:rPr>
      <w:b/>
      <w:bCs/>
      <w:smallCaps/>
      <w:color w:val="2F5496" w:themeColor="accent1" w:themeShade="BF"/>
      <w:spacing w:val="5"/>
    </w:rPr>
  </w:style>
  <w:style w:type="table" w:customStyle="1" w:styleId="TableGrid">
    <w:name w:val="TableGrid"/>
    <w:rsid w:val="0070626F"/>
    <w:rPr>
      <w:rFonts w:eastAsiaTheme="minorEastAsia"/>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826</Words>
  <Characters>4282</Characters>
  <Application>Microsoft Office Word</Application>
  <DocSecurity>0</DocSecurity>
  <Lines>112</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PANSIER</dc:creator>
  <cp:keywords/>
  <dc:description/>
  <cp:lastModifiedBy>FREDERIC PANSIER</cp:lastModifiedBy>
  <cp:revision>9</cp:revision>
  <dcterms:created xsi:type="dcterms:W3CDTF">2026-02-25T09:24:00Z</dcterms:created>
  <dcterms:modified xsi:type="dcterms:W3CDTF">2026-02-25T11:29:00Z</dcterms:modified>
</cp:coreProperties>
</file>